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2" w:rsidRPr="00FF4622" w:rsidRDefault="003B422E" w:rsidP="003B422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F4622">
        <w:rPr>
          <w:rFonts w:asciiTheme="majorHAnsi" w:hAnsiTheme="majorHAnsi" w:cs="Times New Roman"/>
          <w:b/>
          <w:sz w:val="28"/>
          <w:szCs w:val="28"/>
        </w:rPr>
        <w:t>Informace pro veřejnost v zóně havarijního plánování pro objekty zařazené do skupiny B</w:t>
      </w:r>
    </w:p>
    <w:p w:rsidR="00FF4622" w:rsidRPr="000C4E60" w:rsidRDefault="00FF4622" w:rsidP="00FF4622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4E60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:rsidR="00FF4622" w:rsidRPr="00FF4622" w:rsidRDefault="00FF4622" w:rsidP="00FF462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C4E60">
        <w:rPr>
          <w:rFonts w:asciiTheme="majorHAnsi" w:hAnsiTheme="majorHAnsi" w:cs="Times New Roman"/>
          <w:b/>
          <w:sz w:val="28"/>
          <w:szCs w:val="28"/>
        </w:rPr>
        <w:t>STV Group a.s.,</w:t>
      </w:r>
      <w:r w:rsidRPr="00FF4622">
        <w:rPr>
          <w:rFonts w:asciiTheme="majorHAnsi" w:hAnsiTheme="majorHAnsi" w:cs="Times New Roman"/>
          <w:sz w:val="24"/>
          <w:szCs w:val="24"/>
        </w:rPr>
        <w:t xml:space="preserve"> se sídlem Žitná 45, 110 00 Praha 1, IČ: 261 81 134,</w:t>
      </w:r>
    </w:p>
    <w:p w:rsidR="00FF4622" w:rsidRPr="00FF4622" w:rsidRDefault="00920304" w:rsidP="00FF4622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>s</w:t>
      </w:r>
      <w:r w:rsidR="00FF4622" w:rsidRPr="000C4E60">
        <w:rPr>
          <w:rFonts w:asciiTheme="majorHAnsi" w:hAnsiTheme="majorHAnsi" w:cs="Times New Roman"/>
          <w:b/>
          <w:sz w:val="28"/>
          <w:szCs w:val="28"/>
        </w:rPr>
        <w:t xml:space="preserve">tředisko </w:t>
      </w:r>
      <w:proofErr w:type="spellStart"/>
      <w:r w:rsidR="00FF4622" w:rsidRPr="000C4E60">
        <w:rPr>
          <w:rFonts w:asciiTheme="majorHAnsi" w:hAnsiTheme="majorHAnsi" w:cs="Times New Roman"/>
          <w:b/>
          <w:sz w:val="28"/>
          <w:szCs w:val="28"/>
        </w:rPr>
        <w:t>Hajniště</w:t>
      </w:r>
      <w:proofErr w:type="spellEnd"/>
      <w:r w:rsidR="00FF4622" w:rsidRPr="00FF4622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="00FF4622" w:rsidRPr="00FF4622">
        <w:rPr>
          <w:rFonts w:asciiTheme="majorHAnsi" w:hAnsiTheme="majorHAnsi" w:cs="Times New Roman"/>
          <w:sz w:val="24"/>
          <w:szCs w:val="24"/>
        </w:rPr>
        <w:t>P.O.</w:t>
      </w:r>
      <w:proofErr w:type="gramEnd"/>
      <w:r w:rsidR="00FF4622" w:rsidRPr="00FF4622">
        <w:rPr>
          <w:rFonts w:asciiTheme="majorHAnsi" w:hAnsiTheme="majorHAnsi" w:cs="Times New Roman"/>
          <w:sz w:val="24"/>
          <w:szCs w:val="24"/>
        </w:rPr>
        <w:t>BOX 24, 465 65 Nové Město pod Smrkem</w:t>
      </w:r>
    </w:p>
    <w:p w:rsidR="00FF4622" w:rsidRPr="00FF4622" w:rsidRDefault="00FF4622" w:rsidP="00FF462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F4622" w:rsidRPr="00FF4622" w:rsidRDefault="00FF4622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FF4622">
        <w:rPr>
          <w:rFonts w:asciiTheme="majorHAnsi" w:hAnsiTheme="majorHAnsi" w:cs="Times New Roman"/>
          <w:sz w:val="24"/>
          <w:szCs w:val="24"/>
        </w:rPr>
        <w:t>Středisko se nalézá v zalesněné neobydlené lokalitě přírodního parku Peklo – Chlum, na ploše cca 3 km</w:t>
      </w:r>
      <w:r w:rsidRPr="00FF4622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FF4622">
        <w:rPr>
          <w:rFonts w:asciiTheme="majorHAnsi" w:hAnsiTheme="majorHAnsi" w:cs="Times New Roman"/>
          <w:sz w:val="24"/>
          <w:szCs w:val="24"/>
        </w:rPr>
        <w:t xml:space="preserve">, cca 1 – 1,5 km od obcí </w:t>
      </w:r>
      <w:proofErr w:type="spellStart"/>
      <w:r w:rsidRPr="00FF4622">
        <w:rPr>
          <w:rFonts w:asciiTheme="majorHAnsi" w:hAnsiTheme="majorHAnsi" w:cs="Times New Roman"/>
          <w:sz w:val="24"/>
          <w:szCs w:val="24"/>
        </w:rPr>
        <w:t>Hajniště</w:t>
      </w:r>
      <w:proofErr w:type="spellEnd"/>
      <w:r w:rsidRPr="00FF4622">
        <w:rPr>
          <w:rFonts w:asciiTheme="majorHAnsi" w:hAnsiTheme="majorHAnsi" w:cs="Times New Roman"/>
          <w:sz w:val="24"/>
          <w:szCs w:val="24"/>
        </w:rPr>
        <w:t xml:space="preserve"> a Raspenava. Všechny skladovací objekty a výrobní provozy, v nichž dochází k nakládání s nebezpečnými chemickými látkami a směsmi, jsou situovány výhradně v areálu společnosti. Zdrojem rizika je 30 skladů, kde se nebezpečné látky skladují nebo se s nimi v rámci areálu manipuluje. </w:t>
      </w:r>
    </w:p>
    <w:p w:rsidR="00FF4622" w:rsidRDefault="00FF4622" w:rsidP="00FF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622" w:rsidRPr="00C25ACB" w:rsidRDefault="00FF4622" w:rsidP="00FF4622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:rsidR="00FF4622" w:rsidRPr="00C25ACB" w:rsidRDefault="00FF4622" w:rsidP="00FF462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642/2a, Liberec,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FF4622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Magistrát Města Liberec, oddělení krizového řízení, 1, máje 108/48, Liberec 2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0C4E60" w:rsidRDefault="000C4E60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Obvodní báňský úřad pro území krajů libereckého a Vysočina, třída 1. Máje 858/26. Liberec.</w:t>
      </w:r>
    </w:p>
    <w:p w:rsidR="000C4E60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0C4E60" w:rsidRPr="00C25ACB" w:rsidRDefault="000C4E60" w:rsidP="000C4E60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:rsidR="000C4E60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A0838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Společnost se na středisku </w:t>
      </w:r>
      <w:proofErr w:type="spellStart"/>
      <w:r>
        <w:rPr>
          <w:rFonts w:asciiTheme="majorHAnsi" w:hAnsiTheme="majorHAnsi" w:cs="Times New Roman"/>
          <w:sz w:val="24"/>
          <w:szCs w:val="24"/>
        </w:rPr>
        <w:t>Hajniště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zabývá skladováním a </w:t>
      </w:r>
      <w:proofErr w:type="spellStart"/>
      <w:r>
        <w:rPr>
          <w:rFonts w:asciiTheme="majorHAnsi" w:hAnsiTheme="majorHAnsi" w:cs="Times New Roman"/>
          <w:sz w:val="24"/>
          <w:szCs w:val="24"/>
        </w:rPr>
        <w:t>delaborací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vojenského materiálu (výbušniny a výbušné předměty podtřídy 1.1, 1.2, 1.3 a 1.4). Výbušniny mají různá chemická složení a různou nebezpečnost. Skladují se v původních obalech, které jsou schváleny pro ukládání výbušnin, zalaborované ve výrobcích nebo jejich částech tak, jak to vyžaduje kon</w:t>
      </w:r>
      <w:r w:rsidR="00920304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trukce speciálních výrobků v souladu s pla</w:t>
      </w:r>
      <w:r w:rsidR="00920304">
        <w:rPr>
          <w:rFonts w:asciiTheme="majorHAnsi" w:hAnsiTheme="majorHAnsi" w:cs="Times New Roman"/>
          <w:sz w:val="24"/>
          <w:szCs w:val="24"/>
        </w:rPr>
        <w:t>t</w:t>
      </w:r>
      <w:r>
        <w:rPr>
          <w:rFonts w:asciiTheme="majorHAnsi" w:hAnsiTheme="majorHAnsi" w:cs="Times New Roman"/>
          <w:sz w:val="24"/>
          <w:szCs w:val="24"/>
        </w:rPr>
        <w:t>nými bezpečnostními předpisy a to ve skladech, kde se provoz</w:t>
      </w:r>
      <w:r w:rsidR="00DF1C4C">
        <w:rPr>
          <w:rFonts w:asciiTheme="majorHAnsi" w:hAnsiTheme="majorHAnsi" w:cs="Times New Roman"/>
          <w:sz w:val="24"/>
          <w:szCs w:val="24"/>
        </w:rPr>
        <w:t xml:space="preserve"> řídí zvláštními předpisy. Nebezpečné látky zalaborované ve výrobcích (dělostřelecká munice různé ráže, ženijní </w:t>
      </w:r>
      <w:r w:rsidR="00920304">
        <w:rPr>
          <w:rFonts w:asciiTheme="majorHAnsi" w:hAnsiTheme="majorHAnsi" w:cs="Times New Roman"/>
          <w:sz w:val="24"/>
          <w:szCs w:val="24"/>
        </w:rPr>
        <w:t>n</w:t>
      </w:r>
      <w:r w:rsidR="00DF1C4C">
        <w:rPr>
          <w:rFonts w:asciiTheme="majorHAnsi" w:hAnsiTheme="majorHAnsi" w:cs="Times New Roman"/>
          <w:sz w:val="24"/>
          <w:szCs w:val="24"/>
        </w:rPr>
        <w:t>áloživo, letecké pumy) n</w:t>
      </w:r>
      <w:r w:rsidR="00920304">
        <w:rPr>
          <w:rFonts w:asciiTheme="majorHAnsi" w:hAnsiTheme="majorHAnsi" w:cs="Times New Roman"/>
          <w:sz w:val="24"/>
          <w:szCs w:val="24"/>
        </w:rPr>
        <w:t>e</w:t>
      </w:r>
      <w:r w:rsidR="00DF1C4C">
        <w:rPr>
          <w:rFonts w:asciiTheme="majorHAnsi" w:hAnsiTheme="majorHAnsi" w:cs="Times New Roman"/>
          <w:sz w:val="24"/>
          <w:szCs w:val="24"/>
        </w:rPr>
        <w:t>bo jejich částech podle zvláštního předpisu vykazují obecně nižší rizikovost, než nebezpečné látky volné (</w:t>
      </w:r>
      <w:proofErr w:type="spellStart"/>
      <w:r w:rsidR="00DF1C4C">
        <w:rPr>
          <w:rFonts w:asciiTheme="majorHAnsi" w:hAnsiTheme="majorHAnsi" w:cs="Times New Roman"/>
          <w:sz w:val="24"/>
          <w:szCs w:val="24"/>
        </w:rPr>
        <w:t>delaborované</w:t>
      </w:r>
      <w:proofErr w:type="spellEnd"/>
      <w:r w:rsidR="00DF1C4C">
        <w:rPr>
          <w:rFonts w:asciiTheme="majorHAnsi" w:hAnsiTheme="majorHAnsi" w:cs="Times New Roman"/>
          <w:sz w:val="24"/>
          <w:szCs w:val="24"/>
        </w:rPr>
        <w:t>).</w:t>
      </w:r>
      <w:r w:rsidR="00AA0838">
        <w:rPr>
          <w:rFonts w:asciiTheme="majorHAnsi" w:hAnsiTheme="majorHAnsi" w:cs="Times New Roman"/>
          <w:sz w:val="24"/>
          <w:szCs w:val="24"/>
        </w:rPr>
        <w:t xml:space="preserve"> Množství nebezpečných látek v jednotlivých objektech je</w:t>
      </w:r>
      <w:r w:rsidR="00D075F6">
        <w:rPr>
          <w:rFonts w:asciiTheme="majorHAnsi" w:hAnsiTheme="majorHAnsi" w:cs="Times New Roman"/>
          <w:sz w:val="24"/>
          <w:szCs w:val="24"/>
        </w:rPr>
        <w:t xml:space="preserve"> omezeno a je</w:t>
      </w:r>
      <w:r w:rsidR="00AA0838">
        <w:rPr>
          <w:rFonts w:asciiTheme="majorHAnsi" w:hAnsiTheme="majorHAnsi" w:cs="Times New Roman"/>
          <w:sz w:val="24"/>
          <w:szCs w:val="24"/>
        </w:rPr>
        <w:t xml:space="preserve"> dáno jejich </w:t>
      </w:r>
      <w:proofErr w:type="spellStart"/>
      <w:r w:rsidR="00AA0838">
        <w:rPr>
          <w:rFonts w:asciiTheme="majorHAnsi" w:hAnsiTheme="majorHAnsi" w:cs="Times New Roman"/>
          <w:sz w:val="24"/>
          <w:szCs w:val="24"/>
        </w:rPr>
        <w:t>obložností</w:t>
      </w:r>
      <w:proofErr w:type="spellEnd"/>
      <w:r w:rsidR="00AA0838">
        <w:rPr>
          <w:rFonts w:asciiTheme="majorHAnsi" w:hAnsiTheme="majorHAnsi" w:cs="Times New Roman"/>
          <w:sz w:val="24"/>
          <w:szCs w:val="24"/>
        </w:rPr>
        <w:t>.</w:t>
      </w:r>
    </w:p>
    <w:p w:rsidR="00AA0838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A0838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A0838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27B6E" w:rsidRDefault="00927B6E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27B6E" w:rsidRDefault="00927B6E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A0838" w:rsidRPr="00C25ACB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4. Seznam nebezpečných látek</w:t>
      </w:r>
    </w:p>
    <w:p w:rsidR="00AA0838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252"/>
        <w:gridCol w:w="2867"/>
      </w:tblGrid>
      <w:tr w:rsidR="00AA0838" w:rsidTr="00CC4A5E">
        <w:tc>
          <w:tcPr>
            <w:tcW w:w="1985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Nebezpečná látka</w:t>
            </w:r>
          </w:p>
        </w:tc>
        <w:tc>
          <w:tcPr>
            <w:tcW w:w="4252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Nebezpečné vlastnosti</w:t>
            </w:r>
          </w:p>
        </w:tc>
        <w:tc>
          <w:tcPr>
            <w:tcW w:w="2867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Možný scénář závažné havárie</w:t>
            </w:r>
          </w:p>
        </w:tc>
      </w:tr>
      <w:tr w:rsidR="00AA0838" w:rsidTr="00CC4A5E">
        <w:tc>
          <w:tcPr>
            <w:tcW w:w="1985" w:type="dxa"/>
          </w:tcPr>
          <w:p w:rsidR="00AA0838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Výbušniny kat. 1.1, 1.2, 1.3 a 1.4</w:t>
            </w:r>
          </w:p>
        </w:tc>
        <w:tc>
          <w:tcPr>
            <w:tcW w:w="4252" w:type="dxa"/>
          </w:tcPr>
          <w:p w:rsidR="00AA0838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masívního výbuchu</w:t>
            </w:r>
          </w:p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zasažení částicemi</w:t>
            </w:r>
          </w:p>
          <w:p w:rsidR="00927B6E" w:rsidRP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požáru, tlakové vlny</w:t>
            </w:r>
          </w:p>
        </w:tc>
        <w:tc>
          <w:tcPr>
            <w:tcW w:w="2867" w:type="dxa"/>
          </w:tcPr>
          <w:p w:rsidR="00AA0838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 nebo výbuch</w:t>
            </w:r>
          </w:p>
        </w:tc>
      </w:tr>
      <w:tr w:rsidR="00927B6E" w:rsidTr="00CC4A5E">
        <w:tc>
          <w:tcPr>
            <w:tcW w:w="1985" w:type="dxa"/>
          </w:tcPr>
          <w:p w:rsidR="00927B6E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Propan</w:t>
            </w:r>
          </w:p>
        </w:tc>
        <w:tc>
          <w:tcPr>
            <w:tcW w:w="4252" w:type="dxa"/>
          </w:tcPr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Při zahřívání může vybuchnout</w:t>
            </w:r>
          </w:p>
        </w:tc>
        <w:tc>
          <w:tcPr>
            <w:tcW w:w="2867" w:type="dxa"/>
          </w:tcPr>
          <w:p w:rsidR="00927B6E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</w:t>
            </w:r>
          </w:p>
        </w:tc>
      </w:tr>
      <w:tr w:rsidR="00927B6E" w:rsidTr="00CC4A5E">
        <w:tc>
          <w:tcPr>
            <w:tcW w:w="1985" w:type="dxa"/>
          </w:tcPr>
          <w:p w:rsidR="00927B6E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Hořlavé kapaliny kat. 2</w:t>
            </w:r>
          </w:p>
        </w:tc>
        <w:tc>
          <w:tcPr>
            <w:tcW w:w="4252" w:type="dxa"/>
          </w:tcPr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Vysoce hořlavé kapaliny a páry</w:t>
            </w:r>
          </w:p>
        </w:tc>
        <w:tc>
          <w:tcPr>
            <w:tcW w:w="2867" w:type="dxa"/>
          </w:tcPr>
          <w:p w:rsidR="00927B6E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</w:t>
            </w:r>
          </w:p>
        </w:tc>
      </w:tr>
    </w:tbl>
    <w:p w:rsidR="000C4E60" w:rsidRPr="000C4E60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F4622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1.1:</w:t>
      </w:r>
      <w:r w:rsidRPr="00CC4A5E">
        <w:rPr>
          <w:rFonts w:asciiTheme="majorHAnsi" w:hAnsiTheme="majorHAnsi" w:cs="Times New Roman"/>
          <w:sz w:val="24"/>
          <w:szCs w:val="24"/>
        </w:rPr>
        <w:t xml:space="preserve"> látky, směsi a předměty s nebezpečím masivního výbuchu (</w:t>
      </w:r>
      <w:r>
        <w:rPr>
          <w:rFonts w:asciiTheme="majorHAnsi" w:hAnsiTheme="majorHAnsi" w:cs="Times New Roman"/>
          <w:sz w:val="24"/>
          <w:szCs w:val="24"/>
        </w:rPr>
        <w:t>masivní výbuch je výbuch, který postihuje téměř celé množství prakticky okamžitě).</w:t>
      </w:r>
    </w:p>
    <w:p w:rsid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1.2:</w:t>
      </w:r>
      <w:r>
        <w:rPr>
          <w:rFonts w:asciiTheme="majorHAnsi" w:hAnsiTheme="majorHAnsi" w:cs="Times New Roman"/>
          <w:sz w:val="24"/>
          <w:szCs w:val="24"/>
        </w:rPr>
        <w:t xml:space="preserve"> látky, směsi a předměty s nebezpečím zasažení částicemi, ne však s nebezpečím masivního výbuchu.</w:t>
      </w:r>
    </w:p>
    <w:p w:rsid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Podtř</w:t>
      </w:r>
      <w:proofErr w:type="spellEnd"/>
      <w:r>
        <w:rPr>
          <w:rFonts w:asciiTheme="majorHAnsi" w:hAnsiTheme="majorHAnsi" w:cs="Times New Roman"/>
          <w:sz w:val="24"/>
          <w:szCs w:val="24"/>
        </w:rPr>
        <w:t>. 1.3: látky, směsi a předměty s nebezpečím požáru a s menším nebezpečím tlakové vlny nebo zasažení částicemi, popř. obojího, avšak bez nebezpečí masívního výbuchu.</w:t>
      </w:r>
    </w:p>
    <w:p w:rsidR="00CC4A5E" w:rsidRP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1.4:</w:t>
      </w:r>
      <w:r>
        <w:rPr>
          <w:rFonts w:asciiTheme="majorHAnsi" w:hAnsiTheme="majorHAnsi" w:cs="Times New Roman"/>
          <w:sz w:val="24"/>
          <w:szCs w:val="24"/>
        </w:rPr>
        <w:t xml:space="preserve"> látky, směsi a předměty, které nepředstavují žádné významné nebezpečí. Účinky jsou převážně omezeny na balení a nepředpokládá se rozlet úlomků větších rozměrů nebo větší ohrožení okolí. Vnější požár nezpůsobí prakticky současný výbuch téměř celého obsahu balení.</w:t>
      </w:r>
    </w:p>
    <w:p w:rsidR="00FF4622" w:rsidRDefault="00FF4622" w:rsidP="00FF4622">
      <w:pPr>
        <w:rPr>
          <w:rFonts w:ascii="Times New Roman" w:hAnsi="Times New Roman" w:cs="Times New Roman"/>
          <w:sz w:val="24"/>
          <w:szCs w:val="24"/>
        </w:rPr>
      </w:pPr>
    </w:p>
    <w:p w:rsidR="007466A8" w:rsidRPr="00C25ACB" w:rsidRDefault="007466A8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 xml:space="preserve">5. </w:t>
      </w:r>
      <w:r w:rsidR="0056441E">
        <w:rPr>
          <w:rFonts w:asciiTheme="majorHAnsi" w:hAnsiTheme="majorHAnsi" w:cs="Times New Roman"/>
          <w:b/>
          <w:sz w:val="24"/>
          <w:szCs w:val="24"/>
          <w:u w:val="single"/>
        </w:rPr>
        <w:t>Závěr analýzy rizik</w:t>
      </w:r>
    </w:p>
    <w:p w:rsidR="0056441E" w:rsidRPr="0056441E" w:rsidRDefault="007466A8" w:rsidP="007466A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6441E">
        <w:rPr>
          <w:rFonts w:asciiTheme="majorHAnsi" w:hAnsiTheme="majorHAnsi" w:cs="Times New Roman"/>
          <w:sz w:val="24"/>
          <w:szCs w:val="24"/>
        </w:rPr>
        <w:t>Z analýzy rizik vyplývá, že pravděpodobnost</w:t>
      </w:r>
      <w:r w:rsidR="0056441E" w:rsidRPr="0056441E">
        <w:rPr>
          <w:rFonts w:asciiTheme="majorHAnsi" w:hAnsiTheme="majorHAnsi" w:cs="Times New Roman"/>
          <w:sz w:val="24"/>
          <w:szCs w:val="24"/>
        </w:rPr>
        <w:t xml:space="preserve"> vzniku </w:t>
      </w:r>
      <w:r w:rsidRPr="0056441E">
        <w:rPr>
          <w:rFonts w:asciiTheme="majorHAnsi" w:hAnsiTheme="majorHAnsi" w:cs="Times New Roman"/>
          <w:sz w:val="24"/>
          <w:szCs w:val="24"/>
        </w:rPr>
        <w:t xml:space="preserve">havárie s možnými následky mimo území objektu </w:t>
      </w:r>
      <w:proofErr w:type="gramStart"/>
      <w:r w:rsidRPr="0056441E">
        <w:rPr>
          <w:rFonts w:asciiTheme="majorHAnsi" w:hAnsiTheme="majorHAnsi" w:cs="Times New Roman"/>
          <w:sz w:val="24"/>
          <w:szCs w:val="24"/>
        </w:rPr>
        <w:t>je</w:t>
      </w:r>
      <w:proofErr w:type="gramEnd"/>
      <w:r w:rsidRPr="0056441E">
        <w:rPr>
          <w:rFonts w:asciiTheme="majorHAnsi" w:hAnsiTheme="majorHAnsi" w:cs="Times New Roman"/>
          <w:sz w:val="24"/>
          <w:szCs w:val="24"/>
        </w:rPr>
        <w:t xml:space="preserve"> </w:t>
      </w:r>
      <w:r w:rsidR="0056441E" w:rsidRPr="0056441E">
        <w:rPr>
          <w:rFonts w:asciiTheme="majorHAnsi" w:hAnsiTheme="majorHAnsi" w:cs="Times New Roman"/>
          <w:sz w:val="24"/>
          <w:szCs w:val="24"/>
        </w:rPr>
        <w:t>vzhledem k velmi omezeným možnostem přenosu jejich účinků do vnějšího okolí je nízká, bez závažných následků na okolním obyvatelstvu a okolním majetku cizích subjektů.</w:t>
      </w:r>
    </w:p>
    <w:p w:rsidR="0056441E" w:rsidRPr="0056441E" w:rsidRDefault="0056441E" w:rsidP="007466A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6441E" w:rsidRPr="0056441E" w:rsidRDefault="0056441E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6. Varování</w:t>
      </w:r>
    </w:p>
    <w:p w:rsidR="007466A8" w:rsidRDefault="0056441E" w:rsidP="0056441E">
      <w:pPr>
        <w:jc w:val="both"/>
        <w:rPr>
          <w:rFonts w:asciiTheme="majorHAnsi" w:hAnsiTheme="majorHAnsi" w:cs="Times New Roman"/>
          <w:sz w:val="24"/>
          <w:szCs w:val="24"/>
        </w:rPr>
      </w:pPr>
      <w:r w:rsidRPr="0056441E">
        <w:rPr>
          <w:rFonts w:asciiTheme="majorHAnsi" w:hAnsiTheme="majorHAnsi" w:cs="Times New Roman"/>
          <w:sz w:val="24"/>
          <w:szCs w:val="24"/>
        </w:rPr>
        <w:t>Šíření požáru bude ohlášeno houkání</w:t>
      </w:r>
      <w:r>
        <w:rPr>
          <w:rFonts w:asciiTheme="majorHAnsi" w:hAnsiTheme="majorHAnsi" w:cs="Times New Roman"/>
          <w:sz w:val="24"/>
          <w:szCs w:val="24"/>
        </w:rPr>
        <w:t>m sirén. Náhlý výbuch munice je neočekávaná reakce se všemi důsledky a proti ní nelze varovat žádných způsobem. Možnost eskalace havárie přenosem na další objekty závodu bude ohlašována signálem sirén jako v případě požáru, nebo rozhlasovými vozy či megafony.</w:t>
      </w:r>
    </w:p>
    <w:p w:rsidR="0056441E" w:rsidRDefault="0056441E" w:rsidP="0056441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7. Žádoucí chování</w:t>
      </w:r>
    </w:p>
    <w:p w:rsidR="0056441E" w:rsidRDefault="00F93470" w:rsidP="0056441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Obecně lze doporučit: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Vzdálit se nejdále od místa havárie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Volat tísňová čísla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Zachovat klid a nepodléhat panice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Řídit se pokyny složek IZS a orgánů samosprávy a státní správy</w:t>
      </w:r>
    </w:p>
    <w:p w:rsid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r>
        <w:rPr>
          <w:rFonts w:asciiTheme="majorHAnsi" w:hAnsiTheme="majorHAnsi" w:cs="Times New Roman"/>
          <w:sz w:val="24"/>
          <w:szCs w:val="24"/>
        </w:rPr>
        <w:lastRenderedPageBreak/>
        <w:t>V případě, že je nutné opustit budovu:</w:t>
      </w:r>
    </w:p>
    <w:bookmarkEnd w:id="0"/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Vypnout přívody plynu, vody, elektřiny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Uhasit oheň, ukončit činnost s otevřeným ohněm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Vzít si s sebou nejnutnější osobní věci (doklady, peníze, léky)</w:t>
      </w:r>
    </w:p>
    <w:p w:rsidR="00CC2219" w:rsidRDefault="00CC2219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C2219" w:rsidRDefault="00CC2219" w:rsidP="00CC2219">
      <w:pPr>
        <w:jc w:val="both"/>
        <w:rPr>
          <w:rFonts w:asciiTheme="majorHAnsi" w:hAnsiTheme="majorHAnsi" w:cs="Times New Roman"/>
          <w:sz w:val="24"/>
          <w:szCs w:val="24"/>
        </w:rPr>
      </w:pPr>
      <w:r w:rsidRPr="00F82114">
        <w:rPr>
          <w:rFonts w:asciiTheme="majorHAnsi" w:hAnsiTheme="majorHAnsi" w:cs="Times New Roman"/>
          <w:b/>
          <w:sz w:val="24"/>
          <w:szCs w:val="24"/>
        </w:rPr>
        <w:t>8.</w:t>
      </w:r>
      <w:r>
        <w:rPr>
          <w:rFonts w:asciiTheme="majorHAnsi" w:hAnsiTheme="majorHAnsi" w:cs="Times New Roman"/>
          <w:sz w:val="24"/>
          <w:szCs w:val="24"/>
        </w:rPr>
        <w:t xml:space="preserve"> Provozovatel plní povinnosti dané zákonem o prevenci závažných havárií, má zpracovanou a schválenou bezpečnostní dokumentaci, která popisuje žádoucí chování provozovatele a všech zúčastněných při závažné havárii uvnitř i vně objektu a má uzavřenou smlouvu o pojištění odpovědnosti za vzniklé škody v souvislosti s užíváním objektů a zařízení v areálu výrobního závodu. </w:t>
      </w:r>
    </w:p>
    <w:p w:rsidR="00F82114" w:rsidRDefault="00F82114" w:rsidP="00F8211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Zařízení</w:t>
      </w:r>
      <w:r>
        <w:rPr>
          <w:rFonts w:asciiTheme="majorHAnsi" w:hAnsiTheme="majorHAnsi" w:cs="Times New Roman"/>
          <w:sz w:val="24"/>
          <w:szCs w:val="24"/>
        </w:rPr>
        <w:t xml:space="preserve"> je pravidelně kontrolován</w:t>
      </w:r>
      <w:r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 xml:space="preserve"> orgány integrované inspekce (Česká inspekce životního prostředí, Krajská hygienická stanice, Hasičský záchranný sbor, Oblastní inspektorát práce, krajský úřad), poslední kontrola byla provedena dne </w:t>
      </w:r>
      <w:proofErr w:type="gramStart"/>
      <w:r>
        <w:rPr>
          <w:rFonts w:asciiTheme="majorHAnsi" w:hAnsiTheme="majorHAnsi" w:cs="Times New Roman"/>
          <w:sz w:val="24"/>
          <w:szCs w:val="24"/>
        </w:rPr>
        <w:t>7.9.2017</w:t>
      </w:r>
      <w:proofErr w:type="gramEnd"/>
      <w:r>
        <w:rPr>
          <w:rFonts w:asciiTheme="majorHAnsi" w:hAnsiTheme="majorHAnsi" w:cs="Times New Roman"/>
          <w:sz w:val="24"/>
          <w:szCs w:val="24"/>
        </w:rPr>
        <w:t>.</w:t>
      </w:r>
    </w:p>
    <w:p w:rsidR="00F82114" w:rsidRDefault="00F82114" w:rsidP="00F8211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:rsidR="00F82114" w:rsidRPr="00CC2219" w:rsidRDefault="00F82114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93470" w:rsidRP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B422E" w:rsidRPr="003B422E" w:rsidRDefault="003B422E" w:rsidP="003B422E">
      <w:pPr>
        <w:rPr>
          <w:rFonts w:ascii="Times New Roman" w:hAnsi="Times New Roman" w:cs="Times New Roman"/>
          <w:sz w:val="24"/>
          <w:szCs w:val="24"/>
        </w:rPr>
      </w:pPr>
    </w:p>
    <w:sectPr w:rsidR="003B422E" w:rsidRPr="003B42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FD" w:rsidRDefault="006774FD" w:rsidP="00CC2219">
      <w:pPr>
        <w:spacing w:after="0" w:line="240" w:lineRule="auto"/>
      </w:pPr>
      <w:r>
        <w:separator/>
      </w:r>
    </w:p>
  </w:endnote>
  <w:endnote w:type="continuationSeparator" w:id="0">
    <w:p w:rsidR="006774FD" w:rsidRDefault="006774FD" w:rsidP="00CC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19" w:rsidRDefault="00CC2219">
    <w:pPr>
      <w:pStyle w:val="Zpat"/>
    </w:pPr>
    <w:r>
      <w:t xml:space="preserve">Informace pro veřejnost pro objekty zařazené do </w:t>
    </w:r>
    <w:proofErr w:type="gramStart"/>
    <w:r>
      <w:t>skupiny B                                                       leden</w:t>
    </w:r>
    <w:proofErr w:type="gramEnd"/>
    <w:r>
      <w:t xml:space="preserve"> 2018</w:t>
    </w:r>
  </w:p>
  <w:p w:rsidR="00CC2219" w:rsidRDefault="00CC2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FD" w:rsidRDefault="006774FD" w:rsidP="00CC2219">
      <w:pPr>
        <w:spacing w:after="0" w:line="240" w:lineRule="auto"/>
      </w:pPr>
      <w:r>
        <w:separator/>
      </w:r>
    </w:p>
  </w:footnote>
  <w:footnote w:type="continuationSeparator" w:id="0">
    <w:p w:rsidR="006774FD" w:rsidRDefault="006774FD" w:rsidP="00CC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E"/>
    <w:rsid w:val="000C4E60"/>
    <w:rsid w:val="00122581"/>
    <w:rsid w:val="003B422E"/>
    <w:rsid w:val="004D12B2"/>
    <w:rsid w:val="0056441E"/>
    <w:rsid w:val="006534B2"/>
    <w:rsid w:val="006774FD"/>
    <w:rsid w:val="00694867"/>
    <w:rsid w:val="0072515A"/>
    <w:rsid w:val="007466A8"/>
    <w:rsid w:val="0077254D"/>
    <w:rsid w:val="00920304"/>
    <w:rsid w:val="00927B6E"/>
    <w:rsid w:val="00AA0838"/>
    <w:rsid w:val="00B34372"/>
    <w:rsid w:val="00CC2219"/>
    <w:rsid w:val="00CC4A5E"/>
    <w:rsid w:val="00D075F6"/>
    <w:rsid w:val="00DF1C4C"/>
    <w:rsid w:val="00DF62B2"/>
    <w:rsid w:val="00F24267"/>
    <w:rsid w:val="00F82114"/>
    <w:rsid w:val="00F9347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22"/>
    <w:pPr>
      <w:ind w:left="720"/>
      <w:contextualSpacing/>
    </w:pPr>
  </w:style>
  <w:style w:type="table" w:styleId="Mkatabulky">
    <w:name w:val="Table Grid"/>
    <w:basedOn w:val="Normlntabulka"/>
    <w:uiPriority w:val="59"/>
    <w:rsid w:val="00A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19"/>
  </w:style>
  <w:style w:type="paragraph" w:styleId="Zpat">
    <w:name w:val="footer"/>
    <w:basedOn w:val="Normln"/>
    <w:link w:val="Zpat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19"/>
  </w:style>
  <w:style w:type="paragraph" w:styleId="Textbubliny">
    <w:name w:val="Balloon Text"/>
    <w:basedOn w:val="Normln"/>
    <w:link w:val="TextbublinyChar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22"/>
    <w:pPr>
      <w:ind w:left="720"/>
      <w:contextualSpacing/>
    </w:pPr>
  </w:style>
  <w:style w:type="table" w:styleId="Mkatabulky">
    <w:name w:val="Table Grid"/>
    <w:basedOn w:val="Normlntabulka"/>
    <w:uiPriority w:val="59"/>
    <w:rsid w:val="00A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19"/>
  </w:style>
  <w:style w:type="paragraph" w:styleId="Zpat">
    <w:name w:val="footer"/>
    <w:basedOn w:val="Normln"/>
    <w:link w:val="Zpat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19"/>
  </w:style>
  <w:style w:type="paragraph" w:styleId="Textbubliny">
    <w:name w:val="Balloon Text"/>
    <w:basedOn w:val="Normln"/>
    <w:link w:val="TextbublinyChar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Svacinkova Katerina</cp:lastModifiedBy>
  <cp:revision>2</cp:revision>
  <dcterms:created xsi:type="dcterms:W3CDTF">2018-01-17T09:35:00Z</dcterms:created>
  <dcterms:modified xsi:type="dcterms:W3CDTF">2018-01-17T09:35:00Z</dcterms:modified>
</cp:coreProperties>
</file>